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D721" w14:textId="559B9AE5" w:rsidR="00470877" w:rsidRDefault="00947476" w:rsidP="000E6FEF">
      <w:pPr>
        <w:rPr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2366E" wp14:editId="7C1A37AB">
                <wp:simplePos x="0" y="0"/>
                <wp:positionH relativeFrom="column">
                  <wp:posOffset>1628775</wp:posOffset>
                </wp:positionH>
                <wp:positionV relativeFrom="paragraph">
                  <wp:posOffset>685799</wp:posOffset>
                </wp:positionV>
                <wp:extent cx="7219950" cy="1247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C417F" w14:textId="4D832817" w:rsidR="00947476" w:rsidRDefault="00947476">
                            <w:r>
                              <w:t>The Detroit Continuum of Care (</w:t>
                            </w:r>
                            <w:proofErr w:type="spellStart"/>
                            <w:r>
                              <w:t>CoC</w:t>
                            </w:r>
                            <w:proofErr w:type="spellEnd"/>
                            <w:r>
                              <w:t xml:space="preserve">), the Homeless Action Network of Detroit (HAND), and the City of Detroit inventoried </w:t>
                            </w:r>
                            <w:r w:rsidR="001A26BC">
                              <w:t xml:space="preserve">projects that provide beds and units dedicated to serve persons experiencing homelessness as of January </w:t>
                            </w:r>
                            <w:r w:rsidR="00A81783">
                              <w:t>29</w:t>
                            </w:r>
                            <w:r w:rsidR="001A26BC">
                              <w:t>, 20</w:t>
                            </w:r>
                            <w:r w:rsidR="00A81783">
                              <w:t>20</w:t>
                            </w:r>
                            <w:r w:rsidR="001A26BC">
                              <w:t xml:space="preserve">. This housing inventory count (HIC) includes emergency shelter, permanent supportive housing, rapid rehousing, </w:t>
                            </w:r>
                            <w:proofErr w:type="gramStart"/>
                            <w:r w:rsidR="001A26BC">
                              <w:t>safe haven</w:t>
                            </w:r>
                            <w:proofErr w:type="gramEnd"/>
                            <w:r w:rsidR="001A26BC">
                              <w:t>, and transitional housing projects in the cities of Detroit, Hamtramck, and Highland Park. Each residential project was open for service on the night of 1/</w:t>
                            </w:r>
                            <w:r w:rsidR="00A81783">
                              <w:t>29</w:t>
                            </w:r>
                            <w:r w:rsidR="001A26BC">
                              <w:t>/</w:t>
                            </w:r>
                            <w:r w:rsidR="00A81783">
                              <w:t>20</w:t>
                            </w:r>
                            <w:r w:rsidR="001A26BC">
                              <w:t xml:space="preserve"> or was funded and scheduled to begin service within the next year. This report provides an overview </w:t>
                            </w:r>
                            <w:r w:rsidR="00A81783">
                              <w:t xml:space="preserve">comparison </w:t>
                            </w:r>
                            <w:r w:rsidR="001A26BC">
                              <w:t>of the data from the 2019</w:t>
                            </w:r>
                            <w:r w:rsidR="00A81783">
                              <w:t xml:space="preserve"> and 2020</w:t>
                            </w:r>
                            <w:r w:rsidR="001A26BC">
                              <w:t xml:space="preserve"> HIC.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36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25pt;margin-top:54pt;width:568.5pt;height:9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" filled="f" stroked="f" strokeweight=".5pt">
                <v:textbox>
                  <w:txbxContent>
                    <w:p w14:paraId="2C5C417F" w14:textId="4D832817" w:rsidR="00947476" w:rsidRDefault="00947476">
                      <w:r>
                        <w:t>The Detroit Continuum of Care (</w:t>
                      </w:r>
                      <w:proofErr w:type="spellStart"/>
                      <w:r>
                        <w:t>CoC</w:t>
                      </w:r>
                      <w:proofErr w:type="spellEnd"/>
                      <w:r>
                        <w:t xml:space="preserve">), the Homeless Action Network of Detroit (HAND), and the City of Detroit inventoried </w:t>
                      </w:r>
                      <w:r w:rsidR="001A26BC">
                        <w:t xml:space="preserve">projects that provide beds and units dedicated to serve persons experiencing homelessness as of January </w:t>
                      </w:r>
                      <w:r w:rsidR="00A81783">
                        <w:t>29</w:t>
                      </w:r>
                      <w:r w:rsidR="001A26BC">
                        <w:t>, 20</w:t>
                      </w:r>
                      <w:r w:rsidR="00A81783">
                        <w:t>20</w:t>
                      </w:r>
                      <w:r w:rsidR="001A26BC">
                        <w:t xml:space="preserve">. This housing inventory count (HIC) includes emergency shelter, permanent supportive housing, rapid rehousing, </w:t>
                      </w:r>
                      <w:proofErr w:type="gramStart"/>
                      <w:r w:rsidR="001A26BC">
                        <w:t>safe haven</w:t>
                      </w:r>
                      <w:proofErr w:type="gramEnd"/>
                      <w:r w:rsidR="001A26BC">
                        <w:t>, and transitional housing projects in the cities of Detroit, Hamtramck, and Highland Park. Each residential project was open for service on the night of 1/</w:t>
                      </w:r>
                      <w:r w:rsidR="00A81783">
                        <w:t>29</w:t>
                      </w:r>
                      <w:r w:rsidR="001A26BC">
                        <w:t>/</w:t>
                      </w:r>
                      <w:r w:rsidR="00A81783">
                        <w:t>20</w:t>
                      </w:r>
                      <w:r w:rsidR="001A26BC">
                        <w:t xml:space="preserve"> or was funded and scheduled to begin service within the next year. This report provides an overview </w:t>
                      </w:r>
                      <w:r w:rsidR="00A81783">
                        <w:t xml:space="preserve">comparison </w:t>
                      </w:r>
                      <w:r w:rsidR="001A26BC">
                        <w:t>of the data from the 2019</w:t>
                      </w:r>
                      <w:r w:rsidR="00A81783">
                        <w:t xml:space="preserve"> and 2020</w:t>
                      </w:r>
                      <w:r w:rsidR="001A26BC">
                        <w:t xml:space="preserve"> HIC.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522CC" wp14:editId="21843363">
                <wp:simplePos x="0" y="0"/>
                <wp:positionH relativeFrom="column">
                  <wp:posOffset>2428875</wp:posOffset>
                </wp:positionH>
                <wp:positionV relativeFrom="paragraph">
                  <wp:posOffset>0</wp:posOffset>
                </wp:positionV>
                <wp:extent cx="5715000" cy="971550"/>
                <wp:effectExtent l="63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9F91A" w14:textId="6B4927E1" w:rsidR="00947476" w:rsidRPr="003D1637" w:rsidRDefault="005F27B4" w:rsidP="009474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47476" w:rsidRPr="003D1637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E94043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947476" w:rsidRPr="003D1637">
                              <w:rPr>
                                <w:b/>
                                <w:sz w:val="32"/>
                              </w:rPr>
                              <w:t xml:space="preserve"> Detroit </w:t>
                            </w:r>
                            <w:proofErr w:type="spellStart"/>
                            <w:r w:rsidR="00947476" w:rsidRPr="003D1637">
                              <w:rPr>
                                <w:b/>
                                <w:sz w:val="32"/>
                              </w:rPr>
                              <w:t>CoC</w:t>
                            </w:r>
                            <w:proofErr w:type="spellEnd"/>
                            <w:r w:rsidR="00947476" w:rsidRPr="003D1637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947476">
                              <w:rPr>
                                <w:b/>
                                <w:sz w:val="32"/>
                              </w:rPr>
                              <w:t>Housing Inventory</w:t>
                            </w:r>
                            <w:r w:rsidR="00947476" w:rsidRPr="003D1637">
                              <w:rPr>
                                <w:b/>
                                <w:sz w:val="32"/>
                              </w:rPr>
                              <w:t xml:space="preserve"> Count</w:t>
                            </w:r>
                          </w:p>
                          <w:p w14:paraId="10E6424D" w14:textId="77777777" w:rsidR="00947476" w:rsidRPr="003D1637" w:rsidRDefault="00947476" w:rsidP="009474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D1637">
                              <w:rPr>
                                <w:b/>
                                <w:sz w:val="28"/>
                              </w:rPr>
                              <w:t>Summary Data Report</w:t>
                            </w:r>
                          </w:p>
                          <w:p w14:paraId="6C8A2E01" w14:textId="2FE3A6E2" w:rsidR="00947476" w:rsidRDefault="00EE6096" w:rsidP="0094747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June 1</w:t>
                            </w:r>
                            <w:r w:rsidR="00947476" w:rsidRPr="003D1637">
                              <w:t>, 20</w:t>
                            </w:r>
                            <w:r>
                              <w:t>20</w:t>
                            </w:r>
                          </w:p>
                          <w:p w14:paraId="0C13D8BF" w14:textId="77777777" w:rsidR="00947476" w:rsidRDefault="00947476" w:rsidP="00947476">
                            <w:pPr>
                              <w:jc w:val="center"/>
                            </w:pPr>
                          </w:p>
                          <w:p w14:paraId="706EDEF1" w14:textId="77777777" w:rsidR="00947476" w:rsidRDefault="00947476" w:rsidP="00947476">
                            <w:pPr>
                              <w:jc w:val="center"/>
                            </w:pPr>
                          </w:p>
                          <w:p w14:paraId="686BAF4C" w14:textId="77777777" w:rsidR="00947476" w:rsidRPr="003D1637" w:rsidRDefault="00947476" w:rsidP="0094747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522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1.25pt;margin-top:0;width:45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" filled="f" stroked="f">
                <v:textbox>
                  <w:txbxContent>
                    <w:p w14:paraId="6049F91A" w14:textId="6B4927E1" w:rsidR="00947476" w:rsidRPr="003D1637" w:rsidRDefault="005F27B4" w:rsidP="0094747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947476" w:rsidRPr="003D1637">
                        <w:rPr>
                          <w:b/>
                          <w:sz w:val="32"/>
                        </w:rPr>
                        <w:t>20</w:t>
                      </w:r>
                      <w:r w:rsidR="00E94043">
                        <w:rPr>
                          <w:b/>
                          <w:sz w:val="32"/>
                        </w:rPr>
                        <w:t>20</w:t>
                      </w:r>
                      <w:r w:rsidR="00947476" w:rsidRPr="003D1637">
                        <w:rPr>
                          <w:b/>
                          <w:sz w:val="32"/>
                        </w:rPr>
                        <w:t xml:space="preserve"> Detroit </w:t>
                      </w:r>
                      <w:proofErr w:type="spellStart"/>
                      <w:r w:rsidR="00947476" w:rsidRPr="003D1637">
                        <w:rPr>
                          <w:b/>
                          <w:sz w:val="32"/>
                        </w:rPr>
                        <w:t>CoC</w:t>
                      </w:r>
                      <w:proofErr w:type="spellEnd"/>
                      <w:r w:rsidR="00947476" w:rsidRPr="003D1637">
                        <w:rPr>
                          <w:b/>
                          <w:sz w:val="32"/>
                        </w:rPr>
                        <w:t xml:space="preserve"> </w:t>
                      </w:r>
                      <w:r w:rsidR="00947476">
                        <w:rPr>
                          <w:b/>
                          <w:sz w:val="32"/>
                        </w:rPr>
                        <w:t>Housing Inventory</w:t>
                      </w:r>
                      <w:r w:rsidR="00947476" w:rsidRPr="003D1637">
                        <w:rPr>
                          <w:b/>
                          <w:sz w:val="32"/>
                        </w:rPr>
                        <w:t xml:space="preserve"> Count</w:t>
                      </w:r>
                    </w:p>
                    <w:p w14:paraId="10E6424D" w14:textId="77777777" w:rsidR="00947476" w:rsidRPr="003D1637" w:rsidRDefault="00947476" w:rsidP="00947476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3D1637">
                        <w:rPr>
                          <w:b/>
                          <w:sz w:val="28"/>
                        </w:rPr>
                        <w:t>Summary Data Report</w:t>
                      </w:r>
                    </w:p>
                    <w:p w14:paraId="6C8A2E01" w14:textId="2FE3A6E2" w:rsidR="00947476" w:rsidRDefault="00EE6096" w:rsidP="00947476">
                      <w:pPr>
                        <w:spacing w:after="0" w:line="240" w:lineRule="auto"/>
                        <w:jc w:val="center"/>
                      </w:pPr>
                      <w:r>
                        <w:t>June 1</w:t>
                      </w:r>
                      <w:r w:rsidR="00947476" w:rsidRPr="003D1637">
                        <w:t>, 20</w:t>
                      </w:r>
                      <w:r>
                        <w:t>20</w:t>
                      </w:r>
                    </w:p>
                    <w:p w14:paraId="0C13D8BF" w14:textId="77777777" w:rsidR="00947476" w:rsidRDefault="00947476" w:rsidP="00947476">
                      <w:pPr>
                        <w:jc w:val="center"/>
                      </w:pPr>
                    </w:p>
                    <w:p w14:paraId="706EDEF1" w14:textId="77777777" w:rsidR="00947476" w:rsidRDefault="00947476" w:rsidP="00947476">
                      <w:pPr>
                        <w:jc w:val="center"/>
                      </w:pPr>
                    </w:p>
                    <w:p w14:paraId="686BAF4C" w14:textId="77777777" w:rsidR="00947476" w:rsidRPr="003D1637" w:rsidRDefault="00947476" w:rsidP="00947476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545A8" wp14:editId="172DFE2C">
            <wp:extent cx="1495425" cy="114300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BFB7" w14:textId="335CF94E" w:rsidR="00947476" w:rsidRDefault="00947476" w:rsidP="000E6FEF">
      <w:pPr>
        <w:rPr>
          <w:b/>
        </w:rPr>
      </w:pPr>
    </w:p>
    <w:p w14:paraId="10D4F80F" w14:textId="61849676" w:rsidR="001A26BC" w:rsidRDefault="001A26BC" w:rsidP="000E6FEF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3631"/>
        <w:tblW w:w="0" w:type="auto"/>
        <w:tblLook w:val="04A0" w:firstRow="1" w:lastRow="0" w:firstColumn="1" w:lastColumn="0" w:noHBand="0" w:noVBand="1"/>
      </w:tblPr>
      <w:tblGrid>
        <w:gridCol w:w="1853"/>
        <w:gridCol w:w="1302"/>
        <w:gridCol w:w="1302"/>
        <w:gridCol w:w="1831"/>
        <w:gridCol w:w="904"/>
        <w:gridCol w:w="1302"/>
        <w:gridCol w:w="1581"/>
        <w:gridCol w:w="1080"/>
        <w:gridCol w:w="703"/>
        <w:gridCol w:w="1710"/>
      </w:tblGrid>
      <w:tr w:rsidR="006E2CB2" w:rsidRPr="003D1186" w14:paraId="7FD21D42" w14:textId="77777777" w:rsidTr="001A26BC">
        <w:trPr>
          <w:trHeight w:val="1084"/>
        </w:trPr>
        <w:tc>
          <w:tcPr>
            <w:tcW w:w="1853" w:type="dxa"/>
            <w:shd w:val="clear" w:color="auto" w:fill="C5E0B3" w:themeFill="accent6" w:themeFillTint="66"/>
            <w:vAlign w:val="center"/>
          </w:tcPr>
          <w:p w14:paraId="266F361D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CATEGORY</w:t>
            </w:r>
          </w:p>
        </w:tc>
        <w:tc>
          <w:tcPr>
            <w:tcW w:w="2604" w:type="dxa"/>
            <w:gridSpan w:val="2"/>
            <w:shd w:val="clear" w:color="auto" w:fill="C5E0B3" w:themeFill="accent6" w:themeFillTint="66"/>
            <w:vAlign w:val="center"/>
          </w:tcPr>
          <w:p w14:paraId="137BBA20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SINGLE BEDS</w:t>
            </w:r>
          </w:p>
        </w:tc>
        <w:tc>
          <w:tcPr>
            <w:tcW w:w="1831" w:type="dxa"/>
            <w:shd w:val="clear" w:color="auto" w:fill="C5E0B3" w:themeFill="accent6" w:themeFillTint="66"/>
            <w:vAlign w:val="center"/>
          </w:tcPr>
          <w:p w14:paraId="0CA00AF6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 xml:space="preserve">PERCENT CHANGE:  + or </w:t>
            </w:r>
          </w:p>
          <w:p w14:paraId="72D12EB8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(-)</w:t>
            </w:r>
          </w:p>
        </w:tc>
        <w:tc>
          <w:tcPr>
            <w:tcW w:w="2206" w:type="dxa"/>
            <w:gridSpan w:val="2"/>
            <w:shd w:val="clear" w:color="auto" w:fill="C5E0B3" w:themeFill="accent6" w:themeFillTint="66"/>
            <w:vAlign w:val="center"/>
          </w:tcPr>
          <w:p w14:paraId="5DFA4141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FAMILY BEDS</w:t>
            </w:r>
          </w:p>
        </w:tc>
        <w:tc>
          <w:tcPr>
            <w:tcW w:w="1581" w:type="dxa"/>
            <w:shd w:val="clear" w:color="auto" w:fill="C5E0B3" w:themeFill="accent6" w:themeFillTint="66"/>
            <w:vAlign w:val="center"/>
          </w:tcPr>
          <w:p w14:paraId="64A6308E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 xml:space="preserve">PERCENT CHANGE: + or </w:t>
            </w:r>
          </w:p>
          <w:p w14:paraId="56A19E89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(-)</w:t>
            </w:r>
          </w:p>
        </w:tc>
        <w:tc>
          <w:tcPr>
            <w:tcW w:w="1783" w:type="dxa"/>
            <w:gridSpan w:val="2"/>
            <w:shd w:val="clear" w:color="auto" w:fill="C5E0B3" w:themeFill="accent6" w:themeFillTint="66"/>
            <w:vAlign w:val="center"/>
          </w:tcPr>
          <w:p w14:paraId="114BDDA4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TOTAL BEDS</w:t>
            </w:r>
          </w:p>
        </w:tc>
        <w:tc>
          <w:tcPr>
            <w:tcW w:w="1710" w:type="dxa"/>
            <w:shd w:val="clear" w:color="auto" w:fill="C5E0B3" w:themeFill="accent6" w:themeFillTint="66"/>
            <w:vAlign w:val="center"/>
          </w:tcPr>
          <w:p w14:paraId="26829753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 xml:space="preserve">PERCENT CHANGE: + or </w:t>
            </w:r>
          </w:p>
          <w:p w14:paraId="7AF40E36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(-)</w:t>
            </w:r>
          </w:p>
        </w:tc>
      </w:tr>
      <w:tr w:rsidR="006E2CB2" w:rsidRPr="003D1186" w14:paraId="54844DEB" w14:textId="77777777" w:rsidTr="001A26BC">
        <w:tc>
          <w:tcPr>
            <w:tcW w:w="1853" w:type="dxa"/>
            <w:shd w:val="clear" w:color="auto" w:fill="000000" w:themeFill="text1"/>
          </w:tcPr>
          <w:p w14:paraId="3AB95FB1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BDD6EE" w:themeFill="accent1" w:themeFillTint="66"/>
          </w:tcPr>
          <w:p w14:paraId="7498E6BC" w14:textId="6B0B64EC" w:rsidR="006E2CB2" w:rsidRPr="003D1186" w:rsidRDefault="00C44A4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EE6096">
              <w:rPr>
                <w:b/>
                <w:sz w:val="24"/>
              </w:rPr>
              <w:t>9</w:t>
            </w:r>
          </w:p>
        </w:tc>
        <w:tc>
          <w:tcPr>
            <w:tcW w:w="1302" w:type="dxa"/>
            <w:shd w:val="clear" w:color="auto" w:fill="F7CAAC" w:themeFill="accent2" w:themeFillTint="66"/>
          </w:tcPr>
          <w:p w14:paraId="28D8A78B" w14:textId="4F05ECA0" w:rsidR="006E2CB2" w:rsidRPr="003D1186" w:rsidRDefault="00C44A4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EE6096">
              <w:rPr>
                <w:b/>
                <w:sz w:val="24"/>
              </w:rPr>
              <w:t>20</w:t>
            </w:r>
          </w:p>
        </w:tc>
        <w:tc>
          <w:tcPr>
            <w:tcW w:w="1831" w:type="dxa"/>
            <w:shd w:val="clear" w:color="auto" w:fill="000000" w:themeFill="text1"/>
          </w:tcPr>
          <w:p w14:paraId="1AA0530B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904" w:type="dxa"/>
            <w:shd w:val="clear" w:color="auto" w:fill="BDD6EE" w:themeFill="accent1" w:themeFillTint="66"/>
          </w:tcPr>
          <w:p w14:paraId="139E94C8" w14:textId="4ED5D30C" w:rsidR="006E2CB2" w:rsidRPr="003D1186" w:rsidRDefault="00C44A4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EE6096">
              <w:rPr>
                <w:b/>
                <w:sz w:val="24"/>
              </w:rPr>
              <w:t>9</w:t>
            </w:r>
          </w:p>
        </w:tc>
        <w:tc>
          <w:tcPr>
            <w:tcW w:w="1302" w:type="dxa"/>
            <w:shd w:val="clear" w:color="auto" w:fill="F7CAAC" w:themeFill="accent2" w:themeFillTint="66"/>
          </w:tcPr>
          <w:p w14:paraId="45BE7095" w14:textId="43A4F342" w:rsidR="006E2CB2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81" w:type="dxa"/>
            <w:shd w:val="clear" w:color="auto" w:fill="000000" w:themeFill="text1"/>
          </w:tcPr>
          <w:p w14:paraId="35F1D940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BDD6EE" w:themeFill="accent1" w:themeFillTint="66"/>
          </w:tcPr>
          <w:p w14:paraId="1A282CEA" w14:textId="407794C0" w:rsidR="006E2CB2" w:rsidRPr="003D1186" w:rsidRDefault="00C44A4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EE6096">
              <w:rPr>
                <w:b/>
                <w:sz w:val="24"/>
              </w:rPr>
              <w:t>9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124FDD7C" w14:textId="0EAFB686" w:rsidR="006E2CB2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710" w:type="dxa"/>
            <w:shd w:val="clear" w:color="auto" w:fill="000000" w:themeFill="text1"/>
          </w:tcPr>
          <w:p w14:paraId="1CF094AC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</w:tr>
      <w:tr w:rsidR="00C44A4C" w:rsidRPr="003D1186" w14:paraId="2DFE31DD" w14:textId="77777777" w:rsidTr="001A26BC">
        <w:tc>
          <w:tcPr>
            <w:tcW w:w="1853" w:type="dxa"/>
            <w:shd w:val="clear" w:color="auto" w:fill="C5E0B3" w:themeFill="accent6" w:themeFillTint="66"/>
            <w:vAlign w:val="center"/>
          </w:tcPr>
          <w:p w14:paraId="72AE1C7D" w14:textId="43FCDBB8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EMERGENCY SHELTER</w:t>
            </w:r>
            <w:r w:rsidR="00BF6C95">
              <w:rPr>
                <w:b/>
                <w:sz w:val="24"/>
              </w:rPr>
              <w:t>*</w:t>
            </w:r>
          </w:p>
        </w:tc>
        <w:tc>
          <w:tcPr>
            <w:tcW w:w="1302" w:type="dxa"/>
            <w:shd w:val="clear" w:color="auto" w:fill="B4C6E7" w:themeFill="accent5" w:themeFillTint="66"/>
            <w:vAlign w:val="center"/>
          </w:tcPr>
          <w:p w14:paraId="1C87EBBC" w14:textId="121F220C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667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256B5CBF" w14:textId="6AEEBF31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4420F">
              <w:rPr>
                <w:b/>
                <w:sz w:val="24"/>
              </w:rPr>
              <w:t>5</w:t>
            </w:r>
            <w:r w:rsidR="004211A7">
              <w:rPr>
                <w:b/>
                <w:sz w:val="24"/>
              </w:rPr>
              <w:t>6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14:paraId="22D1CFE0" w14:textId="2D12487A" w:rsidR="00C44A4C" w:rsidRPr="003D1186" w:rsidRDefault="006E3ADF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B92F6C">
              <w:rPr>
                <w:b/>
                <w:sz w:val="24"/>
              </w:rPr>
              <w:t>1</w:t>
            </w:r>
            <w:r w:rsidR="004211A7">
              <w:rPr>
                <w:b/>
                <w:sz w:val="24"/>
              </w:rPr>
              <w:t>7</w:t>
            </w:r>
            <w:r w:rsidR="00C44A4C" w:rsidRPr="003D1186">
              <w:rPr>
                <w:b/>
                <w:sz w:val="24"/>
              </w:rPr>
              <w:t>%</w:t>
            </w:r>
            <w:r w:rsidR="009211BC">
              <w:rPr>
                <w:b/>
                <w:sz w:val="24"/>
              </w:rPr>
              <w:t>)</w:t>
            </w:r>
          </w:p>
        </w:tc>
        <w:tc>
          <w:tcPr>
            <w:tcW w:w="904" w:type="dxa"/>
            <w:shd w:val="clear" w:color="auto" w:fill="BDD6EE" w:themeFill="accent1" w:themeFillTint="66"/>
            <w:vAlign w:val="center"/>
          </w:tcPr>
          <w:p w14:paraId="66207899" w14:textId="00A0978C" w:rsidR="00C44A4C" w:rsidRPr="003D1186" w:rsidRDefault="009211B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EE6096">
              <w:rPr>
                <w:b/>
                <w:sz w:val="24"/>
              </w:rPr>
              <w:t>4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06BF7694" w14:textId="29FB399A" w:rsidR="00C44A4C" w:rsidRPr="003D1186" w:rsidRDefault="009211B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EE6096">
              <w:rPr>
                <w:b/>
                <w:sz w:val="24"/>
              </w:rPr>
              <w:t>1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14:paraId="7A34BBF1" w14:textId="705DF7DA" w:rsidR="00C44A4C" w:rsidRPr="003D1186" w:rsidRDefault="006E3ADF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01431">
              <w:rPr>
                <w:b/>
                <w:sz w:val="24"/>
              </w:rPr>
              <w:t>1</w:t>
            </w:r>
            <w:r w:rsidR="00C44A4C" w:rsidRPr="003D1186">
              <w:rPr>
                <w:b/>
                <w:sz w:val="24"/>
              </w:rPr>
              <w:t>%)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41B04E2" w14:textId="245BB7FD" w:rsidR="00C44A4C" w:rsidRPr="003D1186" w:rsidRDefault="009211B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EE6096">
              <w:rPr>
                <w:b/>
                <w:sz w:val="24"/>
              </w:rPr>
              <w:t>81</w:t>
            </w:r>
          </w:p>
        </w:tc>
        <w:tc>
          <w:tcPr>
            <w:tcW w:w="703" w:type="dxa"/>
            <w:shd w:val="clear" w:color="auto" w:fill="F7CAAC" w:themeFill="accent2" w:themeFillTint="66"/>
            <w:vAlign w:val="center"/>
          </w:tcPr>
          <w:p w14:paraId="2B974784" w14:textId="756A350C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4420F">
              <w:rPr>
                <w:b/>
                <w:sz w:val="24"/>
              </w:rPr>
              <w:t>67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659F5EA1" w14:textId="4751D36B" w:rsidR="00C44A4C" w:rsidRPr="003D1186" w:rsidRDefault="00617F6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01431">
              <w:rPr>
                <w:b/>
                <w:sz w:val="24"/>
              </w:rPr>
              <w:t>1</w:t>
            </w:r>
            <w:r w:rsidR="0024420F">
              <w:rPr>
                <w:b/>
                <w:sz w:val="24"/>
              </w:rPr>
              <w:t>2</w:t>
            </w:r>
            <w:r w:rsidR="00E01431">
              <w:rPr>
                <w:b/>
                <w:sz w:val="24"/>
              </w:rPr>
              <w:t>%</w:t>
            </w:r>
            <w:r>
              <w:rPr>
                <w:b/>
                <w:sz w:val="24"/>
              </w:rPr>
              <w:t>)</w:t>
            </w:r>
          </w:p>
        </w:tc>
      </w:tr>
      <w:tr w:rsidR="00C44A4C" w:rsidRPr="003D1186" w14:paraId="74854FBB" w14:textId="77777777" w:rsidTr="001A26BC">
        <w:tc>
          <w:tcPr>
            <w:tcW w:w="1853" w:type="dxa"/>
            <w:shd w:val="clear" w:color="auto" w:fill="C5E0B3" w:themeFill="accent6" w:themeFillTint="66"/>
            <w:vAlign w:val="center"/>
          </w:tcPr>
          <w:p w14:paraId="0BCBA9EE" w14:textId="568606D9" w:rsidR="00B10463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SEASONAL BEDS</w:t>
            </w:r>
          </w:p>
        </w:tc>
        <w:tc>
          <w:tcPr>
            <w:tcW w:w="1302" w:type="dxa"/>
            <w:shd w:val="clear" w:color="auto" w:fill="B4C6E7" w:themeFill="accent5" w:themeFillTint="66"/>
            <w:vAlign w:val="center"/>
          </w:tcPr>
          <w:p w14:paraId="1F42BD3F" w14:textId="77777777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N/A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5E62CCB0" w14:textId="77777777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N/A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14:paraId="0F535BA0" w14:textId="77777777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N/A</w:t>
            </w:r>
          </w:p>
        </w:tc>
        <w:tc>
          <w:tcPr>
            <w:tcW w:w="904" w:type="dxa"/>
            <w:shd w:val="clear" w:color="auto" w:fill="BDD6EE" w:themeFill="accent1" w:themeFillTint="66"/>
            <w:vAlign w:val="center"/>
          </w:tcPr>
          <w:p w14:paraId="0BEEBAE2" w14:textId="77777777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N/A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60841497" w14:textId="77777777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N/A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14:paraId="4616D04D" w14:textId="77777777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N/A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744205F1" w14:textId="1438CAEE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459</w:t>
            </w:r>
          </w:p>
        </w:tc>
        <w:tc>
          <w:tcPr>
            <w:tcW w:w="703" w:type="dxa"/>
            <w:shd w:val="clear" w:color="auto" w:fill="F7CAAC" w:themeFill="accent2" w:themeFillTint="66"/>
            <w:vAlign w:val="center"/>
          </w:tcPr>
          <w:p w14:paraId="23EAE4F1" w14:textId="6BDDBA83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55DA4BB" w14:textId="4F846EE6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01431">
              <w:rPr>
                <w:b/>
                <w:sz w:val="24"/>
              </w:rPr>
              <w:t>34%)</w:t>
            </w:r>
          </w:p>
        </w:tc>
      </w:tr>
      <w:tr w:rsidR="006E2CB2" w:rsidRPr="003D1186" w14:paraId="0CBA42C4" w14:textId="77777777" w:rsidTr="001A26BC">
        <w:tc>
          <w:tcPr>
            <w:tcW w:w="1853" w:type="dxa"/>
            <w:shd w:val="clear" w:color="auto" w:fill="000000" w:themeFill="text1"/>
            <w:vAlign w:val="center"/>
          </w:tcPr>
          <w:p w14:paraId="3950A2CF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6582AC00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610D5CCE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831" w:type="dxa"/>
            <w:shd w:val="clear" w:color="auto" w:fill="000000" w:themeFill="text1"/>
            <w:vAlign w:val="center"/>
          </w:tcPr>
          <w:p w14:paraId="58AE3EC0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904" w:type="dxa"/>
            <w:shd w:val="clear" w:color="auto" w:fill="000000" w:themeFill="text1"/>
            <w:vAlign w:val="center"/>
          </w:tcPr>
          <w:p w14:paraId="2FAA2584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2D6E03A8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708F218A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000000" w:themeFill="text1"/>
            <w:vAlign w:val="center"/>
          </w:tcPr>
          <w:p w14:paraId="3E069F59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1F1BE8AF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</w:tr>
      <w:tr w:rsidR="00DB4971" w:rsidRPr="003D1186" w14:paraId="7DC255D6" w14:textId="77777777" w:rsidTr="001A26BC">
        <w:tc>
          <w:tcPr>
            <w:tcW w:w="1853" w:type="dxa"/>
            <w:shd w:val="clear" w:color="auto" w:fill="C5E0B3" w:themeFill="accent6" w:themeFillTint="66"/>
            <w:vAlign w:val="center"/>
          </w:tcPr>
          <w:p w14:paraId="60A00DBA" w14:textId="77777777" w:rsidR="00DB4971" w:rsidRPr="003D1186" w:rsidRDefault="00DB4971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TRANSITIONAL HOUSING</w:t>
            </w:r>
          </w:p>
        </w:tc>
        <w:tc>
          <w:tcPr>
            <w:tcW w:w="1302" w:type="dxa"/>
            <w:shd w:val="clear" w:color="auto" w:fill="BDD6EE" w:themeFill="accent1" w:themeFillTint="66"/>
            <w:vAlign w:val="center"/>
          </w:tcPr>
          <w:p w14:paraId="773B7F12" w14:textId="1739A300" w:rsidR="00DB4971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422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4086C1F6" w14:textId="4848F50D" w:rsidR="00DB4971" w:rsidRPr="003D1186" w:rsidRDefault="00617F6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EE6096">
              <w:rPr>
                <w:b/>
                <w:sz w:val="24"/>
              </w:rPr>
              <w:t>02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14:paraId="0CCBCDEA" w14:textId="4E92C600" w:rsidR="00DB4971" w:rsidRPr="003D1186" w:rsidRDefault="00DB4971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(</w:t>
            </w:r>
            <w:r w:rsidR="00E01431">
              <w:rPr>
                <w:b/>
                <w:sz w:val="24"/>
              </w:rPr>
              <w:t>5</w:t>
            </w:r>
            <w:r w:rsidRPr="003D1186">
              <w:rPr>
                <w:b/>
                <w:sz w:val="24"/>
              </w:rPr>
              <w:t>%)</w:t>
            </w:r>
          </w:p>
        </w:tc>
        <w:tc>
          <w:tcPr>
            <w:tcW w:w="904" w:type="dxa"/>
            <w:shd w:val="clear" w:color="auto" w:fill="BDD6EE" w:themeFill="accent1" w:themeFillTint="66"/>
            <w:vAlign w:val="center"/>
          </w:tcPr>
          <w:p w14:paraId="01A751CB" w14:textId="00ACF27F" w:rsidR="00DB4971" w:rsidRPr="003D1186" w:rsidRDefault="009211B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E6096">
              <w:rPr>
                <w:b/>
                <w:sz w:val="24"/>
              </w:rPr>
              <w:t>67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0AF98CAD" w14:textId="68326418" w:rsidR="00DB4971" w:rsidRPr="003D1186" w:rsidRDefault="00162EFF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E6096">
              <w:rPr>
                <w:b/>
                <w:sz w:val="24"/>
              </w:rPr>
              <w:t>67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14:paraId="2296779B" w14:textId="273D8498" w:rsidR="00DB4971" w:rsidRPr="003D1186" w:rsidRDefault="00B87D45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(</w:t>
            </w:r>
            <w:r w:rsidR="00EE6096">
              <w:rPr>
                <w:b/>
                <w:sz w:val="24"/>
              </w:rPr>
              <w:t>0</w:t>
            </w:r>
            <w:r w:rsidR="00DB4971" w:rsidRPr="003D1186">
              <w:rPr>
                <w:b/>
                <w:sz w:val="24"/>
              </w:rPr>
              <w:t>%</w:t>
            </w:r>
            <w:r w:rsidRPr="003D1186">
              <w:rPr>
                <w:b/>
                <w:sz w:val="24"/>
              </w:rPr>
              <w:t>)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177417A" w14:textId="73390680" w:rsidR="00DB4971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589</w:t>
            </w:r>
          </w:p>
        </w:tc>
        <w:tc>
          <w:tcPr>
            <w:tcW w:w="703" w:type="dxa"/>
            <w:shd w:val="clear" w:color="auto" w:fill="F7CAAC" w:themeFill="accent2" w:themeFillTint="66"/>
            <w:vAlign w:val="center"/>
          </w:tcPr>
          <w:p w14:paraId="57179E14" w14:textId="340D3632" w:rsidR="00DB4971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569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401842AA" w14:textId="6FC2CCF8" w:rsidR="00DB4971" w:rsidRPr="003D1186" w:rsidRDefault="00B87D45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(</w:t>
            </w:r>
            <w:r w:rsidR="00E01431">
              <w:rPr>
                <w:b/>
                <w:sz w:val="24"/>
              </w:rPr>
              <w:t>3</w:t>
            </w:r>
            <w:r w:rsidRPr="003D1186">
              <w:rPr>
                <w:b/>
                <w:sz w:val="24"/>
              </w:rPr>
              <w:t>%)</w:t>
            </w:r>
          </w:p>
        </w:tc>
      </w:tr>
      <w:tr w:rsidR="00CA195C" w:rsidRPr="003D1186" w14:paraId="6BC24794" w14:textId="77777777" w:rsidTr="001A26BC">
        <w:tc>
          <w:tcPr>
            <w:tcW w:w="1853" w:type="dxa"/>
            <w:shd w:val="clear" w:color="auto" w:fill="000000" w:themeFill="text1"/>
            <w:vAlign w:val="center"/>
          </w:tcPr>
          <w:p w14:paraId="253F668D" w14:textId="77777777" w:rsidR="00CA195C" w:rsidRPr="003D1186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0C4DFD74" w14:textId="77777777" w:rsidR="00CA195C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2700F088" w14:textId="77777777" w:rsidR="00CA195C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831" w:type="dxa"/>
            <w:shd w:val="clear" w:color="auto" w:fill="000000" w:themeFill="text1"/>
            <w:vAlign w:val="center"/>
          </w:tcPr>
          <w:p w14:paraId="6A185D62" w14:textId="77777777" w:rsidR="00CA195C" w:rsidRPr="003D1186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904" w:type="dxa"/>
            <w:shd w:val="clear" w:color="auto" w:fill="000000" w:themeFill="text1"/>
            <w:vAlign w:val="center"/>
          </w:tcPr>
          <w:p w14:paraId="43C3597C" w14:textId="77777777" w:rsidR="00CA195C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384CBE91" w14:textId="77777777" w:rsidR="00CA195C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73379651" w14:textId="77777777" w:rsidR="00CA195C" w:rsidRPr="003D1186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368E92DE" w14:textId="77777777" w:rsidR="00CA195C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  <w:shd w:val="clear" w:color="auto" w:fill="000000" w:themeFill="text1"/>
            <w:vAlign w:val="center"/>
          </w:tcPr>
          <w:p w14:paraId="16A528CA" w14:textId="77777777" w:rsidR="00CA195C" w:rsidRDefault="00CA195C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591A9490" w14:textId="77777777" w:rsidR="00CA195C" w:rsidRPr="003D1186" w:rsidRDefault="00CA195C" w:rsidP="001A26BC">
            <w:pPr>
              <w:jc w:val="center"/>
              <w:rPr>
                <w:b/>
                <w:sz w:val="24"/>
              </w:rPr>
            </w:pPr>
          </w:p>
        </w:tc>
      </w:tr>
      <w:tr w:rsidR="00CA195C" w:rsidRPr="003D1186" w14:paraId="1ABB0ED4" w14:textId="77777777" w:rsidTr="001A26BC">
        <w:tc>
          <w:tcPr>
            <w:tcW w:w="1853" w:type="dxa"/>
            <w:shd w:val="clear" w:color="auto" w:fill="C5E0B3" w:themeFill="accent6" w:themeFillTint="66"/>
            <w:vAlign w:val="center"/>
          </w:tcPr>
          <w:p w14:paraId="7995AB07" w14:textId="05100415" w:rsidR="00CA195C" w:rsidRPr="003D1186" w:rsidRDefault="00CA195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 HAVEN</w:t>
            </w:r>
          </w:p>
        </w:tc>
        <w:tc>
          <w:tcPr>
            <w:tcW w:w="1302" w:type="dxa"/>
            <w:shd w:val="clear" w:color="auto" w:fill="BDD6EE" w:themeFill="accent1" w:themeFillTint="66"/>
            <w:vAlign w:val="center"/>
          </w:tcPr>
          <w:p w14:paraId="7DCF1723" w14:textId="686D0303" w:rsidR="00CA195C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0CB793A0" w14:textId="2F78F788" w:rsidR="00CA195C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14:paraId="79A728FA" w14:textId="1682F431" w:rsidR="00CA195C" w:rsidRPr="003D1186" w:rsidRDefault="00CA195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E609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%)</w:t>
            </w:r>
          </w:p>
        </w:tc>
        <w:tc>
          <w:tcPr>
            <w:tcW w:w="904" w:type="dxa"/>
            <w:shd w:val="clear" w:color="auto" w:fill="BDD6EE" w:themeFill="accent1" w:themeFillTint="66"/>
            <w:vAlign w:val="center"/>
          </w:tcPr>
          <w:p w14:paraId="1CDC0671" w14:textId="5E5885D2" w:rsidR="00CA195C" w:rsidRDefault="00CA195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3FEFEE33" w14:textId="1BD7F6A5" w:rsidR="00CA195C" w:rsidRDefault="00CA195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14:paraId="7291E980" w14:textId="320CC526" w:rsidR="00CA195C" w:rsidRPr="003D1186" w:rsidRDefault="00CA195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N/A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2B7BE92" w14:textId="0B24641F" w:rsidR="00CA195C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03" w:type="dxa"/>
            <w:shd w:val="clear" w:color="auto" w:fill="F7CAAC" w:themeFill="accent2" w:themeFillTint="66"/>
            <w:vAlign w:val="center"/>
          </w:tcPr>
          <w:p w14:paraId="3E16D69C" w14:textId="6244426B" w:rsidR="00CA195C" w:rsidRDefault="00CA195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D33E3E9" w14:textId="571B0A13" w:rsidR="00CA195C" w:rsidRPr="003D1186" w:rsidRDefault="00CA195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EE609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%)</w:t>
            </w:r>
          </w:p>
        </w:tc>
      </w:tr>
      <w:tr w:rsidR="006E2CB2" w:rsidRPr="003D1186" w14:paraId="07726C33" w14:textId="77777777" w:rsidTr="001A26BC">
        <w:tc>
          <w:tcPr>
            <w:tcW w:w="1853" w:type="dxa"/>
            <w:shd w:val="clear" w:color="auto" w:fill="000000" w:themeFill="text1"/>
            <w:vAlign w:val="center"/>
          </w:tcPr>
          <w:p w14:paraId="2363EA08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4B15EEFA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237DBDE5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831" w:type="dxa"/>
            <w:shd w:val="clear" w:color="auto" w:fill="000000" w:themeFill="text1"/>
            <w:vAlign w:val="center"/>
          </w:tcPr>
          <w:p w14:paraId="29EAC233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904" w:type="dxa"/>
            <w:shd w:val="clear" w:color="auto" w:fill="000000" w:themeFill="text1"/>
            <w:vAlign w:val="center"/>
          </w:tcPr>
          <w:p w14:paraId="2E28E75C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72407D2D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2F0F0F80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000000" w:themeFill="text1"/>
            <w:vAlign w:val="center"/>
          </w:tcPr>
          <w:p w14:paraId="6FD2678E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75DBAC6B" w14:textId="77777777" w:rsidR="006E2CB2" w:rsidRPr="003D1186" w:rsidRDefault="006E2CB2" w:rsidP="001A26BC">
            <w:pPr>
              <w:jc w:val="center"/>
              <w:rPr>
                <w:b/>
                <w:sz w:val="24"/>
              </w:rPr>
            </w:pPr>
          </w:p>
        </w:tc>
      </w:tr>
      <w:tr w:rsidR="00C44A4C" w:rsidRPr="003D1186" w14:paraId="3BA83746" w14:textId="77777777" w:rsidTr="001A26BC">
        <w:trPr>
          <w:trHeight w:val="557"/>
        </w:trPr>
        <w:tc>
          <w:tcPr>
            <w:tcW w:w="1853" w:type="dxa"/>
            <w:shd w:val="clear" w:color="auto" w:fill="C5E0B3" w:themeFill="accent6" w:themeFillTint="66"/>
            <w:vAlign w:val="center"/>
          </w:tcPr>
          <w:p w14:paraId="4BADA696" w14:textId="77777777" w:rsidR="00C44A4C" w:rsidRPr="003D1186" w:rsidRDefault="00C44A4C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PH (</w:t>
            </w:r>
            <w:proofErr w:type="spellStart"/>
            <w:r w:rsidRPr="003D1186">
              <w:rPr>
                <w:b/>
                <w:sz w:val="24"/>
              </w:rPr>
              <w:t>PSH</w:t>
            </w:r>
            <w:proofErr w:type="spellEnd"/>
            <w:r w:rsidRPr="003D1186">
              <w:rPr>
                <w:b/>
                <w:sz w:val="24"/>
              </w:rPr>
              <w:t xml:space="preserve">) </w:t>
            </w:r>
          </w:p>
        </w:tc>
        <w:tc>
          <w:tcPr>
            <w:tcW w:w="1302" w:type="dxa"/>
            <w:shd w:val="clear" w:color="auto" w:fill="B4C6E7" w:themeFill="accent5" w:themeFillTint="66"/>
            <w:vAlign w:val="center"/>
          </w:tcPr>
          <w:p w14:paraId="5FDC9BF6" w14:textId="40F8FEB1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1979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2D58138B" w14:textId="25875C5F" w:rsidR="00C44A4C" w:rsidRPr="002E6C78" w:rsidRDefault="002E6C78" w:rsidP="001A26BC">
            <w:pPr>
              <w:jc w:val="center"/>
              <w:rPr>
                <w:b/>
                <w:sz w:val="24"/>
              </w:rPr>
            </w:pPr>
            <w:r w:rsidRPr="002E6C78">
              <w:rPr>
                <w:b/>
                <w:sz w:val="24"/>
              </w:rPr>
              <w:t>1872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14:paraId="26F299E8" w14:textId="2595FDAD" w:rsidR="00C44A4C" w:rsidRPr="003D1186" w:rsidRDefault="009211B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3542E7">
              <w:rPr>
                <w:b/>
                <w:sz w:val="24"/>
              </w:rPr>
              <w:t>5%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04" w:type="dxa"/>
            <w:shd w:val="clear" w:color="auto" w:fill="BDD6EE" w:themeFill="accent1" w:themeFillTint="66"/>
            <w:vAlign w:val="center"/>
          </w:tcPr>
          <w:p w14:paraId="44072E06" w14:textId="34C5D71E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973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627D86BA" w14:textId="4D9EAB78" w:rsidR="00C44A4C" w:rsidRPr="002E6C78" w:rsidRDefault="002E6C78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983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14:paraId="04A672A7" w14:textId="7C6CA286" w:rsidR="00C44A4C" w:rsidRPr="003D1186" w:rsidRDefault="003542E7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+1%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089256C" w14:textId="63EE4BEA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2952</w:t>
            </w:r>
          </w:p>
        </w:tc>
        <w:tc>
          <w:tcPr>
            <w:tcW w:w="703" w:type="dxa"/>
            <w:shd w:val="clear" w:color="auto" w:fill="F7CAAC" w:themeFill="accent2" w:themeFillTint="66"/>
            <w:vAlign w:val="center"/>
          </w:tcPr>
          <w:p w14:paraId="286D4EEB" w14:textId="6F6E94A7" w:rsidR="00C44A4C" w:rsidRPr="002E6C78" w:rsidRDefault="00EE6096" w:rsidP="001A26BC">
            <w:pPr>
              <w:jc w:val="center"/>
              <w:rPr>
                <w:b/>
                <w:sz w:val="24"/>
              </w:rPr>
            </w:pPr>
            <w:r w:rsidRPr="002E6C78">
              <w:rPr>
                <w:b/>
                <w:color w:val="000000" w:themeColor="text1"/>
                <w:sz w:val="24"/>
              </w:rPr>
              <w:t>2</w:t>
            </w:r>
            <w:r w:rsidR="002E6C78" w:rsidRPr="002E6C78">
              <w:rPr>
                <w:b/>
                <w:color w:val="000000" w:themeColor="text1"/>
                <w:sz w:val="24"/>
              </w:rPr>
              <w:t>855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04794712" w14:textId="2F98C41B" w:rsidR="00C44A4C" w:rsidRPr="003D1186" w:rsidRDefault="00162EFF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3542E7">
              <w:rPr>
                <w:b/>
                <w:sz w:val="24"/>
              </w:rPr>
              <w:t>3%</w:t>
            </w:r>
            <w:r>
              <w:rPr>
                <w:b/>
                <w:sz w:val="24"/>
              </w:rPr>
              <w:t>)</w:t>
            </w:r>
          </w:p>
        </w:tc>
      </w:tr>
      <w:tr w:rsidR="00C44A4C" w:rsidRPr="003D1186" w14:paraId="5858276B" w14:textId="77777777" w:rsidTr="001A26BC">
        <w:trPr>
          <w:trHeight w:val="557"/>
        </w:trPr>
        <w:tc>
          <w:tcPr>
            <w:tcW w:w="1853" w:type="dxa"/>
            <w:shd w:val="clear" w:color="auto" w:fill="C5E0B3" w:themeFill="accent6" w:themeFillTint="66"/>
            <w:vAlign w:val="center"/>
          </w:tcPr>
          <w:p w14:paraId="3F5D3D54" w14:textId="6EC186F9" w:rsidR="00C44A4C" w:rsidRPr="003D1186" w:rsidRDefault="00C44A4C" w:rsidP="001A26BC">
            <w:pPr>
              <w:jc w:val="center"/>
              <w:rPr>
                <w:b/>
                <w:i/>
                <w:sz w:val="24"/>
              </w:rPr>
            </w:pPr>
            <w:r w:rsidRPr="003D1186">
              <w:rPr>
                <w:b/>
                <w:i/>
                <w:sz w:val="24"/>
              </w:rPr>
              <w:t>CHRONIC (</w:t>
            </w:r>
            <w:proofErr w:type="spellStart"/>
            <w:r w:rsidRPr="003D1186">
              <w:rPr>
                <w:b/>
                <w:i/>
                <w:sz w:val="24"/>
              </w:rPr>
              <w:t>PSH</w:t>
            </w:r>
            <w:proofErr w:type="spellEnd"/>
            <w:r w:rsidRPr="003D1186">
              <w:rPr>
                <w:b/>
                <w:i/>
                <w:sz w:val="24"/>
              </w:rPr>
              <w:t>)</w:t>
            </w:r>
            <w:r w:rsidR="00B10463">
              <w:rPr>
                <w:b/>
                <w:i/>
                <w:sz w:val="24"/>
              </w:rPr>
              <w:t>*</w:t>
            </w:r>
            <w:r w:rsidR="00BF6C95">
              <w:rPr>
                <w:b/>
                <w:i/>
                <w:sz w:val="24"/>
              </w:rPr>
              <w:t>*</w:t>
            </w:r>
          </w:p>
        </w:tc>
        <w:tc>
          <w:tcPr>
            <w:tcW w:w="1302" w:type="dxa"/>
            <w:shd w:val="clear" w:color="auto" w:fill="B4C6E7" w:themeFill="accent5" w:themeFillTint="66"/>
            <w:vAlign w:val="center"/>
          </w:tcPr>
          <w:p w14:paraId="770686D8" w14:textId="0B3F9849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9557A">
              <w:rPr>
                <w:b/>
                <w:sz w:val="24"/>
              </w:rPr>
              <w:t>434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507009AC" w14:textId="277A7B78" w:rsidR="00C44A4C" w:rsidRPr="003D1186" w:rsidRDefault="00EE6096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2E6C78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14:paraId="752FF967" w14:textId="53912222" w:rsidR="00C44A4C" w:rsidRPr="003D1186" w:rsidRDefault="00E01431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3542E7">
              <w:rPr>
                <w:b/>
                <w:sz w:val="24"/>
              </w:rPr>
              <w:t>7</w:t>
            </w:r>
            <w:r w:rsidR="00C44A4C" w:rsidRPr="003D1186">
              <w:rPr>
                <w:b/>
                <w:sz w:val="24"/>
              </w:rPr>
              <w:t>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04" w:type="dxa"/>
            <w:shd w:val="clear" w:color="auto" w:fill="BDD6EE" w:themeFill="accent1" w:themeFillTint="66"/>
            <w:vAlign w:val="center"/>
          </w:tcPr>
          <w:p w14:paraId="4C7FD02A" w14:textId="09805454" w:rsidR="00C44A4C" w:rsidRPr="003D1186" w:rsidRDefault="009211B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841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5E61BCE3" w14:textId="47FCC69A" w:rsidR="00C44A4C" w:rsidRPr="003D1186" w:rsidRDefault="00617F6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E6C78">
              <w:rPr>
                <w:b/>
                <w:sz w:val="24"/>
              </w:rPr>
              <w:t>33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14:paraId="6698444D" w14:textId="3EB7A143" w:rsidR="00C44A4C" w:rsidRPr="003D1186" w:rsidRDefault="002E6C78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3542E7">
              <w:rPr>
                <w:b/>
                <w:sz w:val="24"/>
              </w:rPr>
              <w:t>1</w:t>
            </w:r>
            <w:r w:rsidR="00C44A4C" w:rsidRPr="003D1186">
              <w:rPr>
                <w:b/>
                <w:sz w:val="24"/>
              </w:rPr>
              <w:t>%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7A813721" w14:textId="69FAE087" w:rsidR="00C44A4C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2308</w:t>
            </w:r>
          </w:p>
        </w:tc>
        <w:tc>
          <w:tcPr>
            <w:tcW w:w="703" w:type="dxa"/>
            <w:shd w:val="clear" w:color="auto" w:fill="F7CAAC" w:themeFill="accent2" w:themeFillTint="66"/>
            <w:vAlign w:val="center"/>
          </w:tcPr>
          <w:p w14:paraId="4A2CE22D" w14:textId="354F7056" w:rsidR="00C44A4C" w:rsidRPr="003D1186" w:rsidRDefault="00162EFF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E6C78">
              <w:rPr>
                <w:b/>
                <w:sz w:val="24"/>
              </w:rPr>
              <w:t>138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6EDB57C" w14:textId="46C2D056" w:rsidR="00C44A4C" w:rsidRPr="003D1186" w:rsidRDefault="00CB182E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3542E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%)</w:t>
            </w:r>
          </w:p>
        </w:tc>
      </w:tr>
      <w:tr w:rsidR="00DB4971" w:rsidRPr="003D1186" w14:paraId="695F1716" w14:textId="77777777" w:rsidTr="001A26BC">
        <w:trPr>
          <w:trHeight w:val="710"/>
        </w:trPr>
        <w:tc>
          <w:tcPr>
            <w:tcW w:w="1853" w:type="dxa"/>
            <w:shd w:val="clear" w:color="auto" w:fill="C5E0B3" w:themeFill="accent6" w:themeFillTint="66"/>
            <w:vAlign w:val="center"/>
          </w:tcPr>
          <w:p w14:paraId="48ED17C0" w14:textId="77777777" w:rsidR="00DB4971" w:rsidRPr="003D1186" w:rsidRDefault="00DB4971" w:rsidP="001A26BC">
            <w:pPr>
              <w:jc w:val="center"/>
              <w:rPr>
                <w:b/>
                <w:sz w:val="24"/>
              </w:rPr>
            </w:pPr>
            <w:r w:rsidRPr="003D1186">
              <w:rPr>
                <w:b/>
                <w:sz w:val="24"/>
              </w:rPr>
              <w:t>PH (</w:t>
            </w:r>
            <w:proofErr w:type="spellStart"/>
            <w:r w:rsidRPr="003D1186">
              <w:rPr>
                <w:b/>
                <w:sz w:val="24"/>
              </w:rPr>
              <w:t>RRH</w:t>
            </w:r>
            <w:proofErr w:type="spellEnd"/>
            <w:r w:rsidRPr="003D1186">
              <w:rPr>
                <w:b/>
                <w:sz w:val="24"/>
              </w:rPr>
              <w:t>)</w:t>
            </w:r>
          </w:p>
        </w:tc>
        <w:tc>
          <w:tcPr>
            <w:tcW w:w="1302" w:type="dxa"/>
            <w:shd w:val="clear" w:color="auto" w:fill="BDD6EE" w:themeFill="accent1" w:themeFillTint="66"/>
            <w:vAlign w:val="center"/>
          </w:tcPr>
          <w:p w14:paraId="4AB4FF76" w14:textId="23F769AB" w:rsidR="00DB4971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1CB91C20" w14:textId="5977925B" w:rsidR="00DB4971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B92F6C">
              <w:rPr>
                <w:b/>
                <w:sz w:val="24"/>
              </w:rPr>
              <w:t>7</w:t>
            </w:r>
          </w:p>
        </w:tc>
        <w:tc>
          <w:tcPr>
            <w:tcW w:w="1831" w:type="dxa"/>
            <w:shd w:val="clear" w:color="auto" w:fill="D0CECE" w:themeFill="background2" w:themeFillShade="E6"/>
            <w:vAlign w:val="center"/>
          </w:tcPr>
          <w:p w14:paraId="0478AB54" w14:textId="7AD7F93B" w:rsidR="00DB4971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E01431">
              <w:rPr>
                <w:b/>
                <w:sz w:val="24"/>
              </w:rPr>
              <w:t>1%</w:t>
            </w:r>
          </w:p>
        </w:tc>
        <w:tc>
          <w:tcPr>
            <w:tcW w:w="904" w:type="dxa"/>
            <w:shd w:val="clear" w:color="auto" w:fill="BDD6EE" w:themeFill="accent1" w:themeFillTint="66"/>
            <w:vAlign w:val="center"/>
          </w:tcPr>
          <w:p w14:paraId="245175BB" w14:textId="26501221" w:rsidR="00DB4971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595</w:t>
            </w:r>
          </w:p>
        </w:tc>
        <w:tc>
          <w:tcPr>
            <w:tcW w:w="1302" w:type="dxa"/>
            <w:shd w:val="clear" w:color="auto" w:fill="F7CAAC" w:themeFill="accent2" w:themeFillTint="66"/>
            <w:vAlign w:val="center"/>
          </w:tcPr>
          <w:p w14:paraId="641E53F5" w14:textId="10EC8B0A" w:rsidR="00DB4971" w:rsidRPr="003D1186" w:rsidRDefault="00B92F6C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706</w:t>
            </w:r>
          </w:p>
        </w:tc>
        <w:tc>
          <w:tcPr>
            <w:tcW w:w="1581" w:type="dxa"/>
            <w:shd w:val="clear" w:color="auto" w:fill="D0CECE" w:themeFill="background2" w:themeFillShade="E6"/>
            <w:vAlign w:val="center"/>
          </w:tcPr>
          <w:p w14:paraId="7A87D3B7" w14:textId="4305547F" w:rsidR="00DB4971" w:rsidRPr="003D1186" w:rsidRDefault="00A9557A" w:rsidP="00A955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E01431">
              <w:rPr>
                <w:b/>
                <w:sz w:val="24"/>
              </w:rPr>
              <w:t>19%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7D1FB08" w14:textId="6C1AC1BB" w:rsidR="00DB4971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740</w:t>
            </w:r>
          </w:p>
        </w:tc>
        <w:tc>
          <w:tcPr>
            <w:tcW w:w="703" w:type="dxa"/>
            <w:shd w:val="clear" w:color="auto" w:fill="F7CAAC" w:themeFill="accent2" w:themeFillTint="66"/>
            <w:vAlign w:val="center"/>
          </w:tcPr>
          <w:p w14:paraId="5D983CF1" w14:textId="08B1AEAF" w:rsidR="00DB4971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B92F6C">
              <w:rPr>
                <w:b/>
                <w:sz w:val="24"/>
              </w:rPr>
              <w:t>53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14:paraId="3466DDFE" w14:textId="34A7535D" w:rsidR="00DB4971" w:rsidRPr="003D1186" w:rsidRDefault="00A9557A" w:rsidP="001A2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 w:rsidR="005F27B4">
              <w:rPr>
                <w:b/>
                <w:sz w:val="24"/>
              </w:rPr>
              <w:t>15%</w:t>
            </w:r>
          </w:p>
        </w:tc>
      </w:tr>
      <w:tr w:rsidR="00E676F0" w:rsidRPr="003D1186" w14:paraId="112CE7A5" w14:textId="77777777" w:rsidTr="001A26BC">
        <w:trPr>
          <w:trHeight w:val="260"/>
        </w:trPr>
        <w:tc>
          <w:tcPr>
            <w:tcW w:w="1853" w:type="dxa"/>
            <w:shd w:val="clear" w:color="auto" w:fill="000000" w:themeFill="text1"/>
            <w:vAlign w:val="center"/>
          </w:tcPr>
          <w:p w14:paraId="0005A194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73146488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7061B755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831" w:type="dxa"/>
            <w:shd w:val="clear" w:color="auto" w:fill="000000" w:themeFill="text1"/>
            <w:vAlign w:val="center"/>
          </w:tcPr>
          <w:p w14:paraId="6FC31E4E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904" w:type="dxa"/>
            <w:shd w:val="clear" w:color="auto" w:fill="000000" w:themeFill="text1"/>
            <w:vAlign w:val="center"/>
          </w:tcPr>
          <w:p w14:paraId="2B6E7BDE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shd w:val="clear" w:color="auto" w:fill="000000" w:themeFill="text1"/>
            <w:vAlign w:val="center"/>
          </w:tcPr>
          <w:p w14:paraId="4892ABEB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581" w:type="dxa"/>
            <w:shd w:val="clear" w:color="auto" w:fill="000000" w:themeFill="text1"/>
            <w:vAlign w:val="center"/>
          </w:tcPr>
          <w:p w14:paraId="3DDA4005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78D6DE00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  <w:shd w:val="clear" w:color="auto" w:fill="000000" w:themeFill="text1"/>
            <w:vAlign w:val="center"/>
          </w:tcPr>
          <w:p w14:paraId="660F8C33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7D82776F" w14:textId="77777777" w:rsidR="00E676F0" w:rsidRPr="003D1186" w:rsidRDefault="00E676F0" w:rsidP="001A26BC">
            <w:pPr>
              <w:jc w:val="center"/>
              <w:rPr>
                <w:b/>
                <w:sz w:val="24"/>
              </w:rPr>
            </w:pPr>
          </w:p>
        </w:tc>
      </w:tr>
    </w:tbl>
    <w:p w14:paraId="210ABBFB" w14:textId="77777777" w:rsidR="009211BC" w:rsidRDefault="009211BC" w:rsidP="00947476">
      <w:pPr>
        <w:rPr>
          <w:b/>
        </w:rPr>
      </w:pPr>
    </w:p>
    <w:p w14:paraId="3CFD4B4B" w14:textId="0FA39515" w:rsidR="00BF6C95" w:rsidRDefault="00BF6C95" w:rsidP="005E0692">
      <w:pPr>
        <w:pStyle w:val="ListParagraph"/>
        <w:ind w:left="1080"/>
        <w:rPr>
          <w:b/>
        </w:rPr>
      </w:pPr>
      <w:r>
        <w:rPr>
          <w:b/>
        </w:rPr>
        <w:t>*</w:t>
      </w:r>
      <w:r w:rsidR="001A26BC">
        <w:rPr>
          <w:b/>
        </w:rPr>
        <w:t>E</w:t>
      </w:r>
      <w:r>
        <w:rPr>
          <w:b/>
        </w:rPr>
        <w:t xml:space="preserve">xcludes </w:t>
      </w:r>
      <w:r w:rsidR="003542E7">
        <w:rPr>
          <w:b/>
        </w:rPr>
        <w:t>overflow; In</w:t>
      </w:r>
      <w:r w:rsidR="00A02A5B">
        <w:rPr>
          <w:b/>
        </w:rPr>
        <w:t xml:space="preserve"> 2020 we had 33 overflow beds </w:t>
      </w:r>
    </w:p>
    <w:p w14:paraId="4A9E534C" w14:textId="5549D658" w:rsidR="00DC7E4D" w:rsidRPr="00F62DDD" w:rsidRDefault="00B10463" w:rsidP="00CA195C">
      <w:pPr>
        <w:pStyle w:val="ListParagraph"/>
        <w:ind w:left="1080"/>
        <w:rPr>
          <w:b/>
        </w:rPr>
      </w:pPr>
      <w:r>
        <w:rPr>
          <w:b/>
        </w:rPr>
        <w:t>*</w:t>
      </w:r>
      <w:r w:rsidR="00BF6C95">
        <w:rPr>
          <w:b/>
        </w:rPr>
        <w:t>*</w:t>
      </w:r>
      <w:r>
        <w:rPr>
          <w:b/>
        </w:rPr>
        <w:t>Category is not mutually exclusive</w:t>
      </w:r>
      <w:r w:rsidR="00BF6C95">
        <w:rPr>
          <w:b/>
        </w:rPr>
        <w:t>.</w:t>
      </w:r>
      <w:r w:rsidR="00F62DDD">
        <w:rPr>
          <w:b/>
        </w:rPr>
        <w:t xml:space="preserve"> </w:t>
      </w:r>
      <w:r w:rsidR="00F62DDD" w:rsidRPr="00F62DDD">
        <w:rPr>
          <w:b/>
        </w:rPr>
        <w:t>A person is considered chronically homeless if s/he has a disabling condition and has either been continuously homeless for at least one year OR has a disabling condition and four episodes of homelessness in the past three years which total at least 12 months.</w:t>
      </w:r>
    </w:p>
    <w:sectPr w:rsidR="00DC7E4D" w:rsidRPr="00F62DDD" w:rsidSect="009678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2737"/>
    <w:multiLevelType w:val="hybridMultilevel"/>
    <w:tmpl w:val="ECD416C4"/>
    <w:lvl w:ilvl="0" w:tplc="13DC57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865BE"/>
    <w:multiLevelType w:val="hybridMultilevel"/>
    <w:tmpl w:val="5980088E"/>
    <w:lvl w:ilvl="0" w:tplc="5D62E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3D"/>
    <w:rsid w:val="00056F74"/>
    <w:rsid w:val="000616D5"/>
    <w:rsid w:val="000E6FEF"/>
    <w:rsid w:val="00153BC4"/>
    <w:rsid w:val="00162EFF"/>
    <w:rsid w:val="00166CE2"/>
    <w:rsid w:val="001A26BC"/>
    <w:rsid w:val="0024420F"/>
    <w:rsid w:val="002C5483"/>
    <w:rsid w:val="002E6C78"/>
    <w:rsid w:val="003542E7"/>
    <w:rsid w:val="003553B2"/>
    <w:rsid w:val="003D1186"/>
    <w:rsid w:val="003D7110"/>
    <w:rsid w:val="004211A7"/>
    <w:rsid w:val="00470877"/>
    <w:rsid w:val="004726E6"/>
    <w:rsid w:val="004D13A0"/>
    <w:rsid w:val="005054D8"/>
    <w:rsid w:val="005E0692"/>
    <w:rsid w:val="005F181E"/>
    <w:rsid w:val="005F27B4"/>
    <w:rsid w:val="00617F6A"/>
    <w:rsid w:val="006E2CB2"/>
    <w:rsid w:val="006E3ADF"/>
    <w:rsid w:val="007930AF"/>
    <w:rsid w:val="009211BC"/>
    <w:rsid w:val="00947476"/>
    <w:rsid w:val="009678E7"/>
    <w:rsid w:val="00A02A5B"/>
    <w:rsid w:val="00A15FBE"/>
    <w:rsid w:val="00A81783"/>
    <w:rsid w:val="00A9557A"/>
    <w:rsid w:val="00AC0962"/>
    <w:rsid w:val="00AE1742"/>
    <w:rsid w:val="00B10463"/>
    <w:rsid w:val="00B87D45"/>
    <w:rsid w:val="00B92F6C"/>
    <w:rsid w:val="00BB118A"/>
    <w:rsid w:val="00BF6C95"/>
    <w:rsid w:val="00C44A4C"/>
    <w:rsid w:val="00CA195C"/>
    <w:rsid w:val="00CB182E"/>
    <w:rsid w:val="00CD286D"/>
    <w:rsid w:val="00CE393D"/>
    <w:rsid w:val="00D0606B"/>
    <w:rsid w:val="00D41644"/>
    <w:rsid w:val="00DA79FA"/>
    <w:rsid w:val="00DB4971"/>
    <w:rsid w:val="00DC7E4D"/>
    <w:rsid w:val="00E01431"/>
    <w:rsid w:val="00E45DA9"/>
    <w:rsid w:val="00E676F0"/>
    <w:rsid w:val="00E94043"/>
    <w:rsid w:val="00EE6096"/>
    <w:rsid w:val="00F1286D"/>
    <w:rsid w:val="00F6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3D3C"/>
  <w15:chartTrackingRefBased/>
  <w15:docId w15:val="{5A9D264F-E8C5-432B-91DA-C6F7809E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175B881-3191-4994-B192-686A3701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Kiana Harrison</dc:creator>
  <cp:keywords/>
  <dc:description/>
  <cp:lastModifiedBy>Kiana Harrison</cp:lastModifiedBy>
  <cp:revision>2</cp:revision>
  <cp:lastPrinted>2020-05-28T14:33:00Z</cp:lastPrinted>
  <dcterms:created xsi:type="dcterms:W3CDTF">2020-08-03T21:16:00Z</dcterms:created>
  <dcterms:modified xsi:type="dcterms:W3CDTF">2020-08-03T21:16:00Z</dcterms:modified>
</cp:coreProperties>
</file>